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12" w:rsidRPr="00531C12" w:rsidRDefault="00531C12" w:rsidP="00531C12">
      <w:pPr>
        <w:shd w:val="clear" w:color="auto" w:fill="FFFFFF"/>
        <w:spacing w:before="150" w:after="0" w:line="240" w:lineRule="auto"/>
        <w:jc w:val="center"/>
        <w:outlineLvl w:val="0"/>
        <w:rPr>
          <w:rFonts w:eastAsia="Times New Roman" w:cs="Times New Roman"/>
          <w:b/>
          <w:bCs/>
          <w:kern w:val="36"/>
          <w:sz w:val="40"/>
          <w:szCs w:val="40"/>
          <w:u w:val="single"/>
        </w:rPr>
      </w:pPr>
      <w:r w:rsidRPr="00531C12">
        <w:rPr>
          <w:rFonts w:eastAsia="Times New Roman" w:cs="Times New Roman"/>
          <w:b/>
          <w:bCs/>
          <w:kern w:val="36"/>
          <w:sz w:val="40"/>
          <w:szCs w:val="40"/>
          <w:u w:val="single"/>
        </w:rPr>
        <w:t>Bổ sung thêm 03 quy định về giám sát việc giám hộ trong lĩnh vực hộ tịch từ 09/01/2025</w:t>
      </w:r>
    </w:p>
    <w:p w:rsidR="00531C12" w:rsidRPr="00531C12" w:rsidRDefault="00531C12" w:rsidP="00531C12">
      <w:pPr>
        <w:shd w:val="clear" w:color="auto" w:fill="FFFFFF"/>
        <w:spacing w:after="150" w:line="240" w:lineRule="auto"/>
        <w:jc w:val="both"/>
        <w:rPr>
          <w:rFonts w:eastAsia="Times New Roman" w:cs="Times New Roman"/>
          <w:szCs w:val="28"/>
        </w:rPr>
      </w:pPr>
    </w:p>
    <w:p w:rsidR="00531C12" w:rsidRPr="00531C12" w:rsidRDefault="00531C12" w:rsidP="00531C12">
      <w:pPr>
        <w:shd w:val="clear" w:color="auto" w:fill="FFFFFF"/>
        <w:spacing w:after="150" w:line="240" w:lineRule="auto"/>
        <w:ind w:firstLine="720"/>
        <w:jc w:val="both"/>
        <w:rPr>
          <w:rFonts w:eastAsia="Times New Roman" w:cs="Times New Roman"/>
          <w:szCs w:val="28"/>
        </w:rPr>
      </w:pPr>
      <w:bookmarkStart w:id="0" w:name="_GoBack"/>
      <w:bookmarkEnd w:id="0"/>
      <w:r w:rsidRPr="00531C12">
        <w:rPr>
          <w:rFonts w:eastAsia="Times New Roman" w:cs="Times New Roman"/>
          <w:szCs w:val="28"/>
        </w:rPr>
        <w:t>Ngày 09/01/2025, Chính phủ ban hành </w:t>
      </w:r>
      <w:hyperlink r:id="rId6" w:tgtFrame="_blank" w:history="1">
        <w:r w:rsidRPr="00531C12">
          <w:rPr>
            <w:rFonts w:eastAsia="Times New Roman" w:cs="Times New Roman"/>
            <w:szCs w:val="28"/>
          </w:rPr>
          <w:t>Nghị định 07/2025/NĐ-CP</w:t>
        </w:r>
      </w:hyperlink>
      <w:r w:rsidRPr="00531C12">
        <w:rPr>
          <w:rFonts w:eastAsia="Times New Roman" w:cs="Times New Roman"/>
          <w:szCs w:val="28"/>
        </w:rPr>
        <w:t> sửa đổi Nghị định trong lĩnh vực hộ tịch, quốc tịch, chứng thực.</w:t>
      </w:r>
    </w:p>
    <w:p w:rsidR="00531C12" w:rsidRPr="00531C12" w:rsidRDefault="00531C12" w:rsidP="00531C12">
      <w:pPr>
        <w:shd w:val="clear" w:color="auto" w:fill="FFFFFF"/>
        <w:spacing w:before="300" w:after="150" w:line="240" w:lineRule="auto"/>
        <w:jc w:val="both"/>
        <w:outlineLvl w:val="1"/>
        <w:rPr>
          <w:rFonts w:eastAsia="Times New Roman" w:cs="Times New Roman"/>
          <w:szCs w:val="28"/>
        </w:rPr>
      </w:pPr>
      <w:r w:rsidRPr="00531C12">
        <w:rPr>
          <w:rFonts w:eastAsia="Times New Roman" w:cs="Times New Roman"/>
          <w:b/>
          <w:bCs/>
          <w:szCs w:val="28"/>
        </w:rPr>
        <w:t>Bổ sung thêm 03 quy định về giám sát việc giám hộ trong lĩnh vực hộ tịch từ 09/01/2025</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Theo đó, tại khoản 8 Điều 2 </w:t>
      </w:r>
      <w:hyperlink r:id="rId7" w:tgtFrame="_blank" w:history="1">
        <w:r w:rsidRPr="00531C12">
          <w:rPr>
            <w:rFonts w:eastAsia="Times New Roman" w:cs="Times New Roman"/>
            <w:szCs w:val="28"/>
          </w:rPr>
          <w:t>Nghị định 07/2025/NĐ-CP</w:t>
        </w:r>
      </w:hyperlink>
      <w:r w:rsidRPr="00531C12">
        <w:rPr>
          <w:rFonts w:eastAsia="Times New Roman" w:cs="Times New Roman"/>
          <w:szCs w:val="28"/>
        </w:rPr>
        <w:t> thì Chính phủ đã bổ sung thêm các quy định về giám sát việc giám hộ trong lĩnh vực hộ tịch vào mục 5 Chương 3 </w:t>
      </w:r>
      <w:hyperlink r:id="rId8" w:tgtFrame="_blank" w:history="1">
        <w:r w:rsidRPr="00531C12">
          <w:rPr>
            <w:rFonts w:eastAsia="Times New Roman" w:cs="Times New Roman"/>
            <w:szCs w:val="28"/>
          </w:rPr>
          <w:t>Nghị định 123/2015/NĐ-CP</w:t>
        </w:r>
      </w:hyperlink>
      <w:r w:rsidRPr="00531C12">
        <w:rPr>
          <w:rFonts w:eastAsia="Times New Roman" w:cs="Times New Roman"/>
          <w:szCs w:val="28"/>
        </w:rPr>
        <w:t> bao gồm:</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b/>
          <w:bCs/>
          <w:i/>
          <w:iCs/>
          <w:szCs w:val="28"/>
        </w:rPr>
        <w:t>(1) Thẩm quyền đăng ký giám sát việc giám hộ, đăng ký chấm dứt giám sát việc giám hộ</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Ủy ban nhân dân cấp xã nơi cư trú của người được giám hộ thực hiện đăng ký giám sát việc giám hộ.</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Ủy ban nhân dân cấp xã đã đăng ký giám sát việc giám hộ thực hiện đăng ký chấm dứt giám sát việc giám hộ.</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b/>
          <w:bCs/>
          <w:i/>
          <w:iCs/>
          <w:szCs w:val="28"/>
        </w:rPr>
        <w:t>(2) Thủ tục đăng ký giám sát việ</w:t>
      </w:r>
      <w:r w:rsidRPr="00531C12">
        <w:rPr>
          <w:rFonts w:eastAsia="Times New Roman" w:cs="Times New Roman"/>
          <w:b/>
          <w:bCs/>
          <w:szCs w:val="28"/>
        </w:rPr>
        <w:t>c giám hộ</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Người yêu cầu đăng ký giám sát việc giám hộ nộp Tờ khai đăng ký giám sát việc giám hộ theo mẫu quy định và văn bản là căn cứ chứng minh việc thỏa thuận cử/chọn người giám sát giám hộ theo quy định của </w:t>
      </w:r>
      <w:hyperlink r:id="rId9" w:tgtFrame="_blank" w:history="1">
        <w:r w:rsidRPr="00531C12">
          <w:rPr>
            <w:rFonts w:eastAsia="Times New Roman" w:cs="Times New Roman"/>
            <w:szCs w:val="28"/>
          </w:rPr>
          <w:t>Bộ luật Dân sự 2015</w:t>
        </w:r>
      </w:hyperlink>
      <w:r w:rsidRPr="00531C12">
        <w:rPr>
          <w:rFonts w:eastAsia="Times New Roman" w:cs="Times New Roman"/>
          <w:szCs w:val="28"/>
        </w:rPr>
        <w:t> cho cơ quan đăng ký hộ tịch có thẩm quyền.</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Trong thời hạn 03 ngày làm việc kể từ ngày tiếp nhận hồ sơ, nếu thấy đủ điều kiện theo quy định pháp luật thì công chức tư pháp - hộ tịch ghi vào Sổ hộ tịch, báo cáo Chủ tịch Ủy ban nhân dân cấp xã cấp trích lục cho người yêu cầu.</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Trường hợp cần phải xác minh thì thời hạn giải quyết được kéo dài nhưng không quá 05 ngày làm việc kể từ ngày tiếp nhận hồ sơ.</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b/>
          <w:bCs/>
          <w:i/>
          <w:iCs/>
          <w:szCs w:val="28"/>
        </w:rPr>
        <w:t>(3) Thủ tục đăng ký chấm dứt giám sát việc giám hộ</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Người yêu cầu đăng ký chấm dứt giám sát việc giám hộ nộp Tờ khai đăng ký chấm dứt giám sát việc giám hộ theo mẫu quy định và giấy tờ là căn cứ chấm dứt giám sát việc giám hộ cho cơ quan đăng ký hộ tịch có thẩm quyền.</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Trình tự đăng ký chấm dứt giám sát việc giám hộ được thực hiện tương tự quy định tại khoản 2 Điều 28b </w:t>
      </w:r>
      <w:hyperlink r:id="rId10" w:tgtFrame="_blank" w:history="1">
        <w:r w:rsidRPr="00531C12">
          <w:rPr>
            <w:rFonts w:eastAsia="Times New Roman" w:cs="Times New Roman"/>
            <w:szCs w:val="28"/>
          </w:rPr>
          <w:t>Nghị định 123/2015/NĐ-CP</w:t>
        </w:r>
      </w:hyperlink>
      <w:r w:rsidRPr="00531C12">
        <w:rPr>
          <w:rFonts w:eastAsia="Times New Roman" w:cs="Times New Roman"/>
          <w:szCs w:val="28"/>
        </w:rPr>
        <w:t>.</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lastRenderedPageBreak/>
        <w:t>- Tờ khai, các biểu mẫu Sổ, Trích lục hộ tịch liên quan đến đăng ký giám sát việc giám hộ, đăng ký chấm dứt giám sát việc giám hộ được ban hành theo Phụ lục kèm theo </w:t>
      </w:r>
      <w:hyperlink r:id="rId11" w:tgtFrame="_blank" w:history="1">
        <w:r w:rsidRPr="00531C12">
          <w:rPr>
            <w:rFonts w:eastAsia="Times New Roman" w:cs="Times New Roman"/>
            <w:szCs w:val="28"/>
          </w:rPr>
          <w:t>Nghị định 07/2025/NĐ-CP</w:t>
        </w:r>
      </w:hyperlink>
      <w:r w:rsidRPr="00531C12">
        <w:rPr>
          <w:rFonts w:eastAsia="Times New Roman" w:cs="Times New Roman"/>
          <w:szCs w:val="28"/>
        </w:rPr>
        <w:t>.</w:t>
      </w:r>
    </w:p>
    <w:p w:rsidR="00531C12" w:rsidRPr="00531C12" w:rsidRDefault="00531C12" w:rsidP="00531C12">
      <w:pPr>
        <w:shd w:val="clear" w:color="auto" w:fill="FFFFFF"/>
        <w:spacing w:before="300" w:after="150" w:line="240" w:lineRule="auto"/>
        <w:jc w:val="both"/>
        <w:outlineLvl w:val="1"/>
        <w:rPr>
          <w:rFonts w:eastAsia="Times New Roman" w:cs="Times New Roman"/>
          <w:szCs w:val="28"/>
        </w:rPr>
      </w:pPr>
      <w:r w:rsidRPr="00531C12">
        <w:rPr>
          <w:rFonts w:eastAsia="Times New Roman" w:cs="Times New Roman"/>
          <w:b/>
          <w:bCs/>
          <w:szCs w:val="28"/>
        </w:rPr>
        <w:t>Phương thức yêu cầu và tiếp nhận yêu cầu đăng ký hộ tịch</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Phương thức yêu cầu và tiếp nhận yêu cầu đăng ký hộ tịch được quy định cụ thể tại Điều 9 </w:t>
      </w:r>
      <w:hyperlink r:id="rId12" w:tgtFrame="_blank" w:history="1">
        <w:r w:rsidRPr="00531C12">
          <w:rPr>
            <w:rFonts w:eastAsia="Times New Roman" w:cs="Times New Roman"/>
            <w:szCs w:val="28"/>
          </w:rPr>
          <w:t>Luật Hộ tịch 2014</w:t>
        </w:r>
      </w:hyperlink>
      <w:r w:rsidRPr="00531C12">
        <w:rPr>
          <w:rFonts w:eastAsia="Times New Roman" w:cs="Times New Roman"/>
          <w:szCs w:val="28"/>
        </w:rPr>
        <w:t> như sau:</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Khi yêu cầu đăng ký hộ tịch, cấp bản sao trích lục hộ tịch, cá nhân nộp hồ sơ trực tiếp cho cơ quan đăng ký hộ tịch hoặc gửi hồ sơ qua hệ thống bưu chính hoặc gửi qua hệ thống đăng ký hộ tịch trực tuyến.</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Khi làm thủ tục đăng ký hộ tịch, cấp bản sao trích lục hộ tịch từ Cơ sở dữ liệu hộ tịch, cá nhân xuất trình giấy tờ chứng minh nhân thân cho cơ quan đăng ký hộ tịch. Trường hợp gửi hồ sơ qua hệ thống bưu chính thì phải gửi kèm theo bản sao có chứng thực giấy tờ chứng minh nhân thân.</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 Đối với những việc đăng ký hộ tịch có quy định thời hạn giải quyết, thì người tiếp nhận hồ sơ phải viết giấy tiếp nhận; trường hợp hồ sơ chưa đầy đủ, không hợp lệ thì phải hướng dẫn bằng văn bản để người đi đăng ký hộ tịch bổ sung, hoàn thiện. Văn bản hướng dẫn phải ghi đầy đủ, rõ ràng loại giấy tờ bổ sung.</w:t>
      </w:r>
    </w:p>
    <w:p w:rsidR="00531C12" w:rsidRPr="00531C12" w:rsidRDefault="00531C12" w:rsidP="00531C12">
      <w:pPr>
        <w:shd w:val="clear" w:color="auto" w:fill="FFFFFF"/>
        <w:spacing w:after="150" w:line="240" w:lineRule="auto"/>
        <w:jc w:val="both"/>
        <w:rPr>
          <w:rFonts w:eastAsia="Times New Roman" w:cs="Times New Roman"/>
          <w:szCs w:val="28"/>
        </w:rPr>
      </w:pPr>
      <w:r w:rsidRPr="00531C12">
        <w:rPr>
          <w:rFonts w:eastAsia="Times New Roman" w:cs="Times New Roman"/>
          <w:szCs w:val="28"/>
        </w:rPr>
        <w:t>Trường hợp người có yêu cầu nộp hồ sơ không đúng cơ quan đăng ký hộ tịch có thẩm quyền thì người tiếp nhận hướng dẫn người đi đăng ký hộ tịch đến cơ quan có thẩm quyền để nộp hồ sơ.</w:t>
      </w:r>
    </w:p>
    <w:p w:rsidR="00F30C59" w:rsidRPr="00531C12" w:rsidRDefault="00F30C59">
      <w:pPr>
        <w:rPr>
          <w:rFonts w:cs="Times New Roman"/>
          <w:szCs w:val="28"/>
        </w:rPr>
      </w:pPr>
    </w:p>
    <w:sectPr w:rsidR="00F30C59" w:rsidRPr="0053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97254"/>
    <w:multiLevelType w:val="multilevel"/>
    <w:tmpl w:val="A79E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C2FCE"/>
    <w:multiLevelType w:val="multilevel"/>
    <w:tmpl w:val="61D0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12"/>
    <w:rsid w:val="00531C12"/>
    <w:rsid w:val="00F3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C1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31C1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C1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31C12"/>
    <w:rPr>
      <w:rFonts w:eastAsia="Times New Roman" w:cs="Times New Roman"/>
      <w:b/>
      <w:bCs/>
      <w:sz w:val="36"/>
      <w:szCs w:val="36"/>
    </w:rPr>
  </w:style>
  <w:style w:type="character" w:styleId="Strong">
    <w:name w:val="Strong"/>
    <w:basedOn w:val="DefaultParagraphFont"/>
    <w:uiPriority w:val="22"/>
    <w:qFormat/>
    <w:rsid w:val="00531C12"/>
    <w:rPr>
      <w:b/>
      <w:bCs/>
    </w:rPr>
  </w:style>
  <w:style w:type="character" w:styleId="Hyperlink">
    <w:name w:val="Hyperlink"/>
    <w:basedOn w:val="DefaultParagraphFont"/>
    <w:uiPriority w:val="99"/>
    <w:semiHidden/>
    <w:unhideWhenUsed/>
    <w:rsid w:val="00531C12"/>
    <w:rPr>
      <w:color w:val="0000FF"/>
      <w:u w:val="single"/>
    </w:rPr>
  </w:style>
  <w:style w:type="character" w:customStyle="1" w:styleId="toctext">
    <w:name w:val="toctext"/>
    <w:basedOn w:val="DefaultParagraphFont"/>
    <w:rsid w:val="00531C12"/>
  </w:style>
  <w:style w:type="paragraph" w:styleId="NormalWeb">
    <w:name w:val="Normal (Web)"/>
    <w:basedOn w:val="Normal"/>
    <w:uiPriority w:val="99"/>
    <w:semiHidden/>
    <w:unhideWhenUsed/>
    <w:rsid w:val="00531C1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31C12"/>
    <w:rPr>
      <w:i/>
      <w:iCs/>
    </w:rPr>
  </w:style>
  <w:style w:type="paragraph" w:styleId="BalloonText">
    <w:name w:val="Balloon Text"/>
    <w:basedOn w:val="Normal"/>
    <w:link w:val="BalloonTextChar"/>
    <w:uiPriority w:val="99"/>
    <w:semiHidden/>
    <w:unhideWhenUsed/>
    <w:rsid w:val="00531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C1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31C1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C1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31C12"/>
    <w:rPr>
      <w:rFonts w:eastAsia="Times New Roman" w:cs="Times New Roman"/>
      <w:b/>
      <w:bCs/>
      <w:sz w:val="36"/>
      <w:szCs w:val="36"/>
    </w:rPr>
  </w:style>
  <w:style w:type="character" w:styleId="Strong">
    <w:name w:val="Strong"/>
    <w:basedOn w:val="DefaultParagraphFont"/>
    <w:uiPriority w:val="22"/>
    <w:qFormat/>
    <w:rsid w:val="00531C12"/>
    <w:rPr>
      <w:b/>
      <w:bCs/>
    </w:rPr>
  </w:style>
  <w:style w:type="character" w:styleId="Hyperlink">
    <w:name w:val="Hyperlink"/>
    <w:basedOn w:val="DefaultParagraphFont"/>
    <w:uiPriority w:val="99"/>
    <w:semiHidden/>
    <w:unhideWhenUsed/>
    <w:rsid w:val="00531C12"/>
    <w:rPr>
      <w:color w:val="0000FF"/>
      <w:u w:val="single"/>
    </w:rPr>
  </w:style>
  <w:style w:type="character" w:customStyle="1" w:styleId="toctext">
    <w:name w:val="toctext"/>
    <w:basedOn w:val="DefaultParagraphFont"/>
    <w:rsid w:val="00531C12"/>
  </w:style>
  <w:style w:type="paragraph" w:styleId="NormalWeb">
    <w:name w:val="Normal (Web)"/>
    <w:basedOn w:val="Normal"/>
    <w:uiPriority w:val="99"/>
    <w:semiHidden/>
    <w:unhideWhenUsed/>
    <w:rsid w:val="00531C1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31C12"/>
    <w:rPr>
      <w:i/>
      <w:iCs/>
    </w:rPr>
  </w:style>
  <w:style w:type="paragraph" w:styleId="BalloonText">
    <w:name w:val="Balloon Text"/>
    <w:basedOn w:val="Normal"/>
    <w:link w:val="BalloonTextChar"/>
    <w:uiPriority w:val="99"/>
    <w:semiHidden/>
    <w:unhideWhenUsed/>
    <w:rsid w:val="00531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35333">
      <w:bodyDiv w:val="1"/>
      <w:marLeft w:val="0"/>
      <w:marRight w:val="0"/>
      <w:marTop w:val="0"/>
      <w:marBottom w:val="0"/>
      <w:divBdr>
        <w:top w:val="none" w:sz="0" w:space="0" w:color="auto"/>
        <w:left w:val="none" w:sz="0" w:space="0" w:color="auto"/>
        <w:bottom w:val="none" w:sz="0" w:space="0" w:color="auto"/>
        <w:right w:val="none" w:sz="0" w:space="0" w:color="auto"/>
      </w:divBdr>
      <w:divsChild>
        <w:div w:id="708601958">
          <w:marLeft w:val="0"/>
          <w:marRight w:val="0"/>
          <w:marTop w:val="0"/>
          <w:marBottom w:val="0"/>
          <w:divBdr>
            <w:top w:val="none" w:sz="0" w:space="0" w:color="auto"/>
            <w:left w:val="none" w:sz="0" w:space="0" w:color="auto"/>
            <w:bottom w:val="none" w:sz="0" w:space="0" w:color="auto"/>
            <w:right w:val="none" w:sz="0" w:space="0" w:color="auto"/>
          </w:divBdr>
          <w:divsChild>
            <w:div w:id="253704414">
              <w:marLeft w:val="0"/>
              <w:marRight w:val="0"/>
              <w:marTop w:val="0"/>
              <w:marBottom w:val="0"/>
              <w:divBdr>
                <w:top w:val="none" w:sz="0" w:space="0" w:color="auto"/>
                <w:left w:val="none" w:sz="0" w:space="0" w:color="auto"/>
                <w:bottom w:val="none" w:sz="0" w:space="0" w:color="auto"/>
                <w:right w:val="none" w:sz="0" w:space="0" w:color="auto"/>
              </w:divBdr>
            </w:div>
          </w:divsChild>
        </w:div>
        <w:div w:id="1238827737">
          <w:marLeft w:val="0"/>
          <w:marRight w:val="0"/>
          <w:marTop w:val="150"/>
          <w:marBottom w:val="150"/>
          <w:divBdr>
            <w:top w:val="none" w:sz="0" w:space="0" w:color="auto"/>
            <w:left w:val="none" w:sz="0" w:space="0" w:color="auto"/>
            <w:bottom w:val="none" w:sz="0" w:space="0" w:color="auto"/>
            <w:right w:val="none" w:sz="0" w:space="0" w:color="auto"/>
          </w:divBdr>
          <w:divsChild>
            <w:div w:id="1780877968">
              <w:marLeft w:val="0"/>
              <w:marRight w:val="0"/>
              <w:marTop w:val="0"/>
              <w:marBottom w:val="180"/>
              <w:divBdr>
                <w:top w:val="none" w:sz="0" w:space="0" w:color="auto"/>
                <w:left w:val="none" w:sz="0" w:space="0" w:color="auto"/>
                <w:bottom w:val="none" w:sz="0" w:space="0" w:color="auto"/>
                <w:right w:val="none" w:sz="0" w:space="0" w:color="auto"/>
              </w:divBdr>
              <w:divsChild>
                <w:div w:id="1938755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539455">
          <w:marLeft w:val="0"/>
          <w:marRight w:val="0"/>
          <w:marTop w:val="0"/>
          <w:marBottom w:val="0"/>
          <w:divBdr>
            <w:top w:val="none" w:sz="0" w:space="0" w:color="auto"/>
            <w:left w:val="none" w:sz="0" w:space="0" w:color="auto"/>
            <w:bottom w:val="none" w:sz="0" w:space="0" w:color="auto"/>
            <w:right w:val="none" w:sz="0" w:space="0" w:color="auto"/>
          </w:divBdr>
          <w:divsChild>
            <w:div w:id="1240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123-2015-ND-CP-huong-dan-Luat-ho-tich-282304.aspx?anchor=chuong_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Bo-may-hanh-chinh/Nghi-dinh-07-2025-ND-CP-sua-doi-Nghi-dinh-trong-linh-vuc-ho-tich-quoc-tich-chung-thuc-639918.aspx?anchor=dieu_2" TargetMode="External"/><Relationship Id="rId12" Type="http://schemas.openxmlformats.org/officeDocument/2006/relationships/hyperlink" Target="https://thuvienphapluat.vn/van-ban/Quyen-dan-su/Luat-Ho-tich-2014-259727.aspx?anchor=dieu_9"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huvienphapluat.vn/van-ban/Bo-may-hanh-chinh/Nghi-dinh-07-2025-ND-CP-sua-doi-Nghi-dinh-trong-linh-vuc-ho-tich-quoc-tich-chung-thuc-639918.aspx" TargetMode="External"/><Relationship Id="rId11" Type="http://schemas.openxmlformats.org/officeDocument/2006/relationships/hyperlink" Target="https://thuvienphapluat.vn/van-ban/Bo-may-hanh-chinh/Nghi-dinh-07-2025-ND-CP-sua-doi-Nghi-dinh-trong-linh-vuc-ho-tich-quoc-tich-chung-thuc-639918.aspx"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Quyen-dan-su/Nghi-dinh-123-2015-ND-CP-huong-dan-Luat-ho-tich-282304.aspx?anchor=dieu_28" TargetMode="External"/><Relationship Id="rId4" Type="http://schemas.openxmlformats.org/officeDocument/2006/relationships/settings" Target="settings.xml"/><Relationship Id="rId9" Type="http://schemas.openxmlformats.org/officeDocument/2006/relationships/hyperlink" Target="https://thuvienphapluat.vn/van-ban/Quyen-dan-su/Bo-luat-dan-su-2015-29621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29EAD-2EC9-4E24-B5D8-EFF4C29C2532}"/>
</file>

<file path=customXml/itemProps2.xml><?xml version="1.0" encoding="utf-8"?>
<ds:datastoreItem xmlns:ds="http://schemas.openxmlformats.org/officeDocument/2006/customXml" ds:itemID="{122117AD-51CD-4B06-8A86-2E8FBC790E92}"/>
</file>

<file path=customXml/itemProps3.xml><?xml version="1.0" encoding="utf-8"?>
<ds:datastoreItem xmlns:ds="http://schemas.openxmlformats.org/officeDocument/2006/customXml" ds:itemID="{C29DE045-2B32-4C72-BAF7-00A4E4EEB834}"/>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2025-02-17T02:14:00Z</dcterms:created>
  <dcterms:modified xsi:type="dcterms:W3CDTF">2025-02-17T02:15:00Z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